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FC43" w14:textId="77777777" w:rsidR="000943FE" w:rsidRPr="00212323" w:rsidRDefault="00A7114C" w:rsidP="00255D38">
      <w:pPr>
        <w:pBdr>
          <w:bottom w:val="single" w:sz="4" w:space="1" w:color="auto"/>
        </w:pBdr>
        <w:spacing w:after="100" w:line="240" w:lineRule="auto"/>
        <w:outlineLvl w:val="3"/>
        <w:rPr>
          <w:rFonts w:ascii="Times New Roman" w:eastAsia="Times New Roman" w:hAnsi="Times New Roman" w:cs="Times New Roman"/>
          <w:b/>
          <w:bCs/>
          <w:color w:val="000000" w:themeColor="text1"/>
          <w:sz w:val="48"/>
          <w:szCs w:val="48"/>
          <w:lang w:val="nb-NO" w:eastAsia="nb-NO"/>
        </w:rPr>
      </w:pPr>
      <w:r w:rsidRPr="00212323">
        <w:rPr>
          <w:rFonts w:ascii="Times New Roman" w:eastAsia="Times New Roman" w:hAnsi="Times New Roman" w:cs="Times New Roman"/>
          <w:b/>
          <w:bCs/>
          <w:color w:val="000000" w:themeColor="text1"/>
          <w:sz w:val="48"/>
          <w:szCs w:val="48"/>
          <w:lang w:val="nb-NO" w:eastAsia="nb-NO"/>
        </w:rPr>
        <w:t>Detaljer om a</w:t>
      </w:r>
      <w:r w:rsidR="000943FE" w:rsidRPr="00212323">
        <w:rPr>
          <w:rFonts w:ascii="Times New Roman" w:eastAsia="Times New Roman" w:hAnsi="Times New Roman" w:cs="Times New Roman"/>
          <w:b/>
          <w:bCs/>
          <w:color w:val="000000" w:themeColor="text1"/>
          <w:sz w:val="48"/>
          <w:szCs w:val="48"/>
          <w:lang w:val="nb-NO" w:eastAsia="nb-NO"/>
        </w:rPr>
        <w:t xml:space="preserve">rbeidsgiveravgift </w:t>
      </w:r>
      <w:bookmarkStart w:id="0" w:name="_GoBack"/>
      <w:bookmarkEnd w:id="0"/>
    </w:p>
    <w:p w14:paraId="0CC4FC44" w14:textId="46096B07" w:rsidR="00255D38" w:rsidRPr="00212323" w:rsidRDefault="00255D38" w:rsidP="00255D38">
      <w:pPr>
        <w:spacing w:after="100"/>
        <w:rPr>
          <w:rFonts w:ascii="Times New Roman" w:hAnsi="Times New Roman" w:cs="Times New Roman"/>
          <w:i/>
          <w:color w:val="000000" w:themeColor="text1"/>
          <w:sz w:val="20"/>
          <w:szCs w:val="24"/>
          <w:lang w:val="nb-NO"/>
        </w:rPr>
      </w:pPr>
      <w:r w:rsidRPr="00212323">
        <w:rPr>
          <w:rFonts w:ascii="Times New Roman" w:hAnsi="Times New Roman" w:cs="Times New Roman"/>
          <w:i/>
          <w:color w:val="000000" w:themeColor="text1"/>
          <w:sz w:val="20"/>
          <w:szCs w:val="24"/>
          <w:lang w:val="nb-NO"/>
        </w:rPr>
        <w:t xml:space="preserve">Skrevet av Sindre K. Ånestad, senior skatterådgiver og medlem i misjonsutvalget Klippen Sandnes, </w:t>
      </w:r>
      <w:r w:rsidR="00B664F0">
        <w:rPr>
          <w:rFonts w:ascii="Times New Roman" w:hAnsi="Times New Roman" w:cs="Times New Roman"/>
          <w:i/>
          <w:color w:val="000000" w:themeColor="text1"/>
          <w:sz w:val="20"/>
          <w:szCs w:val="24"/>
          <w:lang w:val="nb-NO"/>
        </w:rPr>
        <w:t>August 2014</w:t>
      </w:r>
    </w:p>
    <w:p w14:paraId="0CC4FC45" w14:textId="77777777" w:rsidR="00255D38" w:rsidRPr="00212323" w:rsidRDefault="00255D38" w:rsidP="00255D38">
      <w:pPr>
        <w:spacing w:after="100"/>
        <w:rPr>
          <w:rFonts w:ascii="Times New Roman" w:hAnsi="Times New Roman" w:cs="Times New Roman"/>
          <w:color w:val="000000" w:themeColor="text1"/>
          <w:sz w:val="24"/>
          <w:szCs w:val="24"/>
          <w:lang w:val="nb-NO"/>
        </w:rPr>
      </w:pPr>
    </w:p>
    <w:p w14:paraId="0CC4FC46" w14:textId="77777777" w:rsidR="00E279A8" w:rsidRPr="00212323" w:rsidRDefault="000943FE" w:rsidP="00A7114C">
      <w:pPr>
        <w:shd w:val="clear" w:color="auto" w:fill="FFFFFF"/>
        <w:spacing w:after="100" w:line="240" w:lineRule="auto"/>
        <w:rPr>
          <w:rFonts w:ascii="Arial" w:eastAsia="Times New Roman" w:hAnsi="Arial" w:cs="Arial"/>
          <w:b/>
          <w:bCs/>
          <w:color w:val="000000" w:themeColor="text1"/>
          <w:sz w:val="24"/>
          <w:szCs w:val="26"/>
          <w:lang w:val="nb-NO" w:eastAsia="nb-NO"/>
        </w:rPr>
      </w:pPr>
      <w:r w:rsidRPr="00212323">
        <w:rPr>
          <w:rFonts w:ascii="Arial" w:eastAsia="Times New Roman" w:hAnsi="Arial" w:cs="Arial"/>
          <w:b/>
          <w:bCs/>
          <w:color w:val="000000" w:themeColor="text1"/>
          <w:sz w:val="24"/>
          <w:szCs w:val="26"/>
          <w:lang w:val="nb-NO" w:eastAsia="nb-NO"/>
        </w:rPr>
        <w:t>Hovedregelen for skattefrie organisasjoners plikt til å betale arbeidsgiveravgift</w:t>
      </w:r>
    </w:p>
    <w:p w14:paraId="0CC4FC47" w14:textId="6D130FB3"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Det skal</w:t>
      </w:r>
      <w:r w:rsidR="00212323" w:rsidRPr="00212323">
        <w:rPr>
          <w:rFonts w:ascii="Times New Roman" w:eastAsia="Times New Roman" w:hAnsi="Times New Roman" w:cs="Times New Roman"/>
          <w:color w:val="000000" w:themeColor="text1"/>
          <w:sz w:val="24"/>
          <w:szCs w:val="24"/>
          <w:lang w:val="nb-NO" w:eastAsia="nb-NO"/>
        </w:rPr>
        <w:t xml:space="preserve"> </w:t>
      </w:r>
      <w:r w:rsidR="00212323">
        <w:rPr>
          <w:rFonts w:ascii="Times New Roman" w:eastAsia="Times New Roman" w:hAnsi="Times New Roman" w:cs="Times New Roman"/>
          <w:color w:val="000000" w:themeColor="text1"/>
          <w:sz w:val="24"/>
          <w:szCs w:val="24"/>
          <w:lang w:val="nb-NO" w:eastAsia="nb-NO"/>
        </w:rPr>
        <w:t>som utgangspunkt</w:t>
      </w:r>
      <w:r w:rsidRPr="00212323">
        <w:rPr>
          <w:rFonts w:ascii="Times New Roman" w:eastAsia="Times New Roman" w:hAnsi="Times New Roman" w:cs="Times New Roman"/>
          <w:color w:val="000000" w:themeColor="text1"/>
          <w:sz w:val="24"/>
          <w:szCs w:val="24"/>
          <w:lang w:val="nb-NO" w:eastAsia="nb-NO"/>
        </w:rPr>
        <w:t xml:space="preserve"> betales arbeidsgiveravgift av all lønn eller annen godtgjørelse for arbeid eller oppdrag, herunder også lønnsutbetalinger under </w:t>
      </w:r>
      <w:r w:rsidR="00212323">
        <w:rPr>
          <w:rFonts w:ascii="Times New Roman" w:eastAsia="Times New Roman" w:hAnsi="Times New Roman" w:cs="Times New Roman"/>
          <w:color w:val="000000" w:themeColor="text1"/>
          <w:sz w:val="24"/>
          <w:szCs w:val="24"/>
          <w:lang w:val="nb-NO" w:eastAsia="nb-NO"/>
        </w:rPr>
        <w:t>1 </w:t>
      </w:r>
      <w:r w:rsidRPr="00212323">
        <w:rPr>
          <w:rFonts w:ascii="Times New Roman" w:eastAsia="Times New Roman" w:hAnsi="Times New Roman" w:cs="Times New Roman"/>
          <w:color w:val="000000" w:themeColor="text1"/>
          <w:sz w:val="24"/>
          <w:szCs w:val="24"/>
          <w:lang w:val="nb-NO" w:eastAsia="nb-NO"/>
        </w:rPr>
        <w:t>000</w:t>
      </w:r>
      <w:r w:rsidR="00212323">
        <w:rPr>
          <w:rFonts w:ascii="Times New Roman" w:eastAsia="Times New Roman" w:hAnsi="Times New Roman" w:cs="Times New Roman"/>
          <w:color w:val="000000" w:themeColor="text1"/>
          <w:sz w:val="24"/>
          <w:szCs w:val="24"/>
          <w:lang w:val="nb-NO" w:eastAsia="nb-NO"/>
        </w:rPr>
        <w:t xml:space="preserve"> </w:t>
      </w:r>
      <w:r w:rsidR="001F6211">
        <w:rPr>
          <w:rFonts w:ascii="Times New Roman" w:eastAsia="Times New Roman" w:hAnsi="Times New Roman" w:cs="Times New Roman"/>
          <w:color w:val="000000" w:themeColor="text1"/>
          <w:sz w:val="24"/>
          <w:szCs w:val="24"/>
          <w:lang w:val="nb-NO" w:eastAsia="nb-NO"/>
        </w:rPr>
        <w:t xml:space="preserve">kroner </w:t>
      </w:r>
      <w:r w:rsidR="00212323">
        <w:rPr>
          <w:rFonts w:ascii="Times New Roman" w:eastAsia="Times New Roman" w:hAnsi="Times New Roman" w:cs="Times New Roman"/>
          <w:color w:val="000000" w:themeColor="text1"/>
          <w:sz w:val="24"/>
          <w:szCs w:val="24"/>
          <w:lang w:val="nb-NO" w:eastAsia="nb-NO"/>
        </w:rPr>
        <w:t>(6 000</w:t>
      </w:r>
      <w:r w:rsidRPr="00212323">
        <w:rPr>
          <w:rFonts w:ascii="Times New Roman" w:eastAsia="Times New Roman" w:hAnsi="Times New Roman" w:cs="Times New Roman"/>
          <w:color w:val="000000" w:themeColor="text1"/>
          <w:sz w:val="24"/>
          <w:szCs w:val="24"/>
          <w:lang w:val="nb-NO" w:eastAsia="nb-NO"/>
        </w:rPr>
        <w:t xml:space="preserve"> </w:t>
      </w:r>
      <w:r w:rsidR="001F6211">
        <w:rPr>
          <w:rFonts w:ascii="Times New Roman" w:eastAsia="Times New Roman" w:hAnsi="Times New Roman" w:cs="Times New Roman"/>
          <w:color w:val="000000" w:themeColor="text1"/>
          <w:sz w:val="24"/>
          <w:szCs w:val="24"/>
          <w:lang w:val="nb-NO" w:eastAsia="nb-NO"/>
        </w:rPr>
        <w:t xml:space="preserve">kroner </w:t>
      </w:r>
      <w:r w:rsidR="00870A49">
        <w:rPr>
          <w:rFonts w:ascii="Times New Roman" w:eastAsia="Times New Roman" w:hAnsi="Times New Roman" w:cs="Times New Roman"/>
          <w:color w:val="000000" w:themeColor="text1"/>
          <w:sz w:val="24"/>
          <w:szCs w:val="24"/>
          <w:lang w:val="nb-NO" w:eastAsia="nb-NO"/>
        </w:rPr>
        <w:t xml:space="preserve">for </w:t>
      </w:r>
      <w:r w:rsidR="00212323">
        <w:rPr>
          <w:rFonts w:ascii="Times New Roman" w:eastAsia="Times New Roman" w:hAnsi="Times New Roman" w:cs="Times New Roman"/>
          <w:color w:val="000000" w:themeColor="text1"/>
          <w:sz w:val="24"/>
          <w:szCs w:val="24"/>
          <w:lang w:val="nb-NO" w:eastAsia="nb-NO"/>
        </w:rPr>
        <w:t>frivillig</w:t>
      </w:r>
      <w:r w:rsidR="001F6211">
        <w:rPr>
          <w:rFonts w:ascii="Times New Roman" w:eastAsia="Times New Roman" w:hAnsi="Times New Roman" w:cs="Times New Roman"/>
          <w:color w:val="000000" w:themeColor="text1"/>
          <w:sz w:val="24"/>
          <w:szCs w:val="24"/>
          <w:lang w:val="nb-NO" w:eastAsia="nb-NO"/>
        </w:rPr>
        <w:t>e</w:t>
      </w:r>
      <w:r w:rsidR="00212323">
        <w:rPr>
          <w:rFonts w:ascii="Times New Roman" w:eastAsia="Times New Roman" w:hAnsi="Times New Roman" w:cs="Times New Roman"/>
          <w:color w:val="000000" w:themeColor="text1"/>
          <w:sz w:val="24"/>
          <w:szCs w:val="24"/>
          <w:lang w:val="nb-NO" w:eastAsia="nb-NO"/>
        </w:rPr>
        <w:t xml:space="preserve"> organisasjoner) </w:t>
      </w:r>
      <w:r w:rsidRPr="00212323">
        <w:rPr>
          <w:rFonts w:ascii="Times New Roman" w:eastAsia="Times New Roman" w:hAnsi="Times New Roman" w:cs="Times New Roman"/>
          <w:color w:val="000000" w:themeColor="text1"/>
          <w:sz w:val="24"/>
          <w:szCs w:val="24"/>
          <w:lang w:val="nb-NO" w:eastAsia="nb-NO"/>
        </w:rPr>
        <w:t>per lønnsmottaker i inntektsåret. Som lønn regnes også styrehonorar, overtidsgodtgjørelse, feriepenger, lønn under sykdom mv. Arbeidsgiveravgift beregnes også av trekkpliktig godtgjørelse f.eks. godtgjørelse ut over statens satser. For naturalytelser skal det betales arbeidsgiveravgift når ytelsen er trekkpliktig, f.eks. ved fordel av å bruke arbeidsgivers bil, og rentefordel ved rimelige lån i arbeidsforhold.</w:t>
      </w:r>
    </w:p>
    <w:p w14:paraId="0CC4FC48" w14:textId="7E3C3C78" w:rsidR="00A7114C"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lastRenderedPageBreak/>
        <w:t>Det skal ikke betales arbeidsgiveravgift av godtgjørelse for oppdrag som er utført som ledd i selvstendig næringsvirksomhet. Er organisasjonen i tvil om utbetalingen skal regnes som næringsinntekt eller lønnsinntekt, ta kontakt med skattekont</w:t>
      </w:r>
      <w:r w:rsidR="00870A49">
        <w:rPr>
          <w:rFonts w:ascii="Times New Roman" w:eastAsia="Times New Roman" w:hAnsi="Times New Roman" w:cs="Times New Roman"/>
          <w:color w:val="000000" w:themeColor="text1"/>
          <w:sz w:val="24"/>
          <w:szCs w:val="24"/>
          <w:lang w:val="nb-NO" w:eastAsia="nb-NO"/>
        </w:rPr>
        <w:t>oret. Se også brosjyre RF-2028 «</w:t>
      </w:r>
      <w:r w:rsidRPr="00212323">
        <w:rPr>
          <w:rFonts w:ascii="Times New Roman" w:eastAsia="Times New Roman" w:hAnsi="Times New Roman" w:cs="Times New Roman"/>
          <w:color w:val="000000" w:themeColor="text1"/>
          <w:sz w:val="24"/>
          <w:szCs w:val="24"/>
          <w:lang w:val="nb-NO" w:eastAsia="nb-NO"/>
        </w:rPr>
        <w:t>Arb</w:t>
      </w:r>
      <w:r w:rsidR="00870A49">
        <w:rPr>
          <w:rFonts w:ascii="Times New Roman" w:eastAsia="Times New Roman" w:hAnsi="Times New Roman" w:cs="Times New Roman"/>
          <w:color w:val="000000" w:themeColor="text1"/>
          <w:sz w:val="24"/>
          <w:szCs w:val="24"/>
          <w:lang w:val="nb-NO" w:eastAsia="nb-NO"/>
        </w:rPr>
        <w:t>eidstaker eller næringsdrivende»</w:t>
      </w:r>
      <w:r w:rsidRPr="00212323">
        <w:rPr>
          <w:rFonts w:ascii="Times New Roman" w:eastAsia="Times New Roman" w:hAnsi="Times New Roman" w:cs="Times New Roman"/>
          <w:color w:val="000000" w:themeColor="text1"/>
          <w:sz w:val="24"/>
          <w:szCs w:val="24"/>
          <w:lang w:val="nb-NO" w:eastAsia="nb-NO"/>
        </w:rPr>
        <w:t xml:space="preserve"> på skatteetaten.no. </w:t>
      </w:r>
    </w:p>
    <w:p w14:paraId="0CC4FC49"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Sonen for arbeidsgiveravgift bestemmes av arbeidsgivers registrerte adresse, se skatteetaten.no. Satsene for de ulike sonene kan fås ved henvendelse til skatteoppkreverkontoret eller på skatteetaten.no.</w:t>
      </w:r>
    </w:p>
    <w:p w14:paraId="0CC4FC4A" w14:textId="234D268A" w:rsidR="00A7114C"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Arbeidsgiveren skal selv beregne avgiften for hver oppgjørsperiode (to måneder). Beregningen skal føre</w:t>
      </w:r>
      <w:r w:rsidR="00870A49">
        <w:rPr>
          <w:rFonts w:ascii="Times New Roman" w:eastAsia="Times New Roman" w:hAnsi="Times New Roman" w:cs="Times New Roman"/>
          <w:color w:val="000000" w:themeColor="text1"/>
          <w:sz w:val="24"/>
          <w:szCs w:val="24"/>
          <w:lang w:val="nb-NO" w:eastAsia="nb-NO"/>
        </w:rPr>
        <w:t>s på den kombinerte blanketten «</w:t>
      </w:r>
      <w:r w:rsidRPr="00212323">
        <w:rPr>
          <w:rFonts w:ascii="Times New Roman" w:eastAsia="Times New Roman" w:hAnsi="Times New Roman" w:cs="Times New Roman"/>
          <w:color w:val="000000" w:themeColor="text1"/>
          <w:sz w:val="24"/>
          <w:szCs w:val="24"/>
          <w:lang w:val="nb-NO" w:eastAsia="nb-NO"/>
        </w:rPr>
        <w:t>Terminoppgave for arbeidsgiveravgift og forskuddstrekk</w:t>
      </w:r>
      <w:r w:rsidR="00870A49">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(RF-1037), og sendes til skatteoppkreverkontoret senest den 15. i forfallsmåneden. Avgiften skal betales den 15. januar, 15. mars, 15. mai, 15. juli, 15. september og 15. november. Beløp under 100 kroner for en oppgjørsperiode skal ikke betales.</w:t>
      </w:r>
    </w:p>
    <w:p w14:paraId="3138BAF2" w14:textId="2932A6FE" w:rsidR="00212323" w:rsidRPr="00212323" w:rsidRDefault="00212323"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Pr>
          <w:rFonts w:ascii="Times New Roman" w:eastAsia="Times New Roman" w:hAnsi="Times New Roman" w:cs="Times New Roman"/>
          <w:color w:val="000000" w:themeColor="text1"/>
          <w:sz w:val="24"/>
          <w:szCs w:val="24"/>
          <w:lang w:val="nb-NO" w:eastAsia="nb-NO"/>
        </w:rPr>
        <w:t xml:space="preserve">For inntektsåret 2015 vil lønnsutbetaler måtte rapportere hver måned, men innbetaling av </w:t>
      </w:r>
      <w:proofErr w:type="gramStart"/>
      <w:r>
        <w:rPr>
          <w:rFonts w:ascii="Times New Roman" w:eastAsia="Times New Roman" w:hAnsi="Times New Roman" w:cs="Times New Roman"/>
          <w:color w:val="000000" w:themeColor="text1"/>
          <w:sz w:val="24"/>
          <w:szCs w:val="24"/>
          <w:lang w:val="nb-NO" w:eastAsia="nb-NO"/>
        </w:rPr>
        <w:t>skatt</w:t>
      </w:r>
      <w:proofErr w:type="gramEnd"/>
      <w:r>
        <w:rPr>
          <w:rFonts w:ascii="Times New Roman" w:eastAsia="Times New Roman" w:hAnsi="Times New Roman" w:cs="Times New Roman"/>
          <w:color w:val="000000" w:themeColor="text1"/>
          <w:sz w:val="24"/>
          <w:szCs w:val="24"/>
          <w:lang w:val="nb-NO" w:eastAsia="nb-NO"/>
        </w:rPr>
        <w:t xml:space="preserve"> og arbeidsgiveravgift forventes å bestå – </w:t>
      </w:r>
      <w:proofErr w:type="spellStart"/>
      <w:r>
        <w:rPr>
          <w:rFonts w:ascii="Times New Roman" w:eastAsia="Times New Roman" w:hAnsi="Times New Roman" w:cs="Times New Roman"/>
          <w:color w:val="000000" w:themeColor="text1"/>
          <w:sz w:val="24"/>
          <w:szCs w:val="24"/>
          <w:lang w:val="nb-NO" w:eastAsia="nb-NO"/>
        </w:rPr>
        <w:t>dvs</w:t>
      </w:r>
      <w:proofErr w:type="spellEnd"/>
      <w:r>
        <w:rPr>
          <w:rFonts w:ascii="Times New Roman" w:eastAsia="Times New Roman" w:hAnsi="Times New Roman" w:cs="Times New Roman"/>
          <w:color w:val="000000" w:themeColor="text1"/>
          <w:sz w:val="24"/>
          <w:szCs w:val="24"/>
          <w:lang w:val="nb-NO" w:eastAsia="nb-NO"/>
        </w:rPr>
        <w:t xml:space="preserve"> med innbetaling hver 2. måned. </w:t>
      </w:r>
    </w:p>
    <w:p w14:paraId="0CC4FC4B" w14:textId="1372E560"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lastRenderedPageBreak/>
        <w:t xml:space="preserve">Blanketten kan sendes via </w:t>
      </w:r>
      <w:proofErr w:type="spellStart"/>
      <w:r w:rsidRPr="00212323">
        <w:rPr>
          <w:rFonts w:ascii="Times New Roman" w:eastAsia="Times New Roman" w:hAnsi="Times New Roman" w:cs="Times New Roman"/>
          <w:color w:val="000000" w:themeColor="text1"/>
          <w:sz w:val="24"/>
          <w:szCs w:val="24"/>
          <w:lang w:val="nb-NO" w:eastAsia="nb-NO"/>
        </w:rPr>
        <w:t>Altinn</w:t>
      </w:r>
      <w:proofErr w:type="spellEnd"/>
      <w:r w:rsidRPr="00212323">
        <w:rPr>
          <w:rFonts w:ascii="Times New Roman" w:eastAsia="Times New Roman" w:hAnsi="Times New Roman" w:cs="Times New Roman"/>
          <w:color w:val="000000" w:themeColor="text1"/>
          <w:sz w:val="24"/>
          <w:szCs w:val="24"/>
          <w:lang w:val="nb-NO" w:eastAsia="nb-NO"/>
        </w:rPr>
        <w:t xml:space="preserve"> eller på papir til skatteoppkreveren. Papirblankett for manuell innsending kan fås fra skatteoppkreverkontoret eller den kan lastes ned fra skatteetaten.no.</w:t>
      </w:r>
      <w:r w:rsidR="00212323">
        <w:rPr>
          <w:rFonts w:ascii="Times New Roman" w:eastAsia="Times New Roman" w:hAnsi="Times New Roman" w:cs="Times New Roman"/>
          <w:color w:val="000000" w:themeColor="text1"/>
          <w:sz w:val="24"/>
          <w:szCs w:val="24"/>
          <w:lang w:val="nb-NO" w:eastAsia="nb-NO"/>
        </w:rPr>
        <w:t xml:space="preserve"> (Hvorvidt papirblankett kan benyttes i 2015 er uavklart i skrivende stund.)</w:t>
      </w:r>
    </w:p>
    <w:p w14:paraId="0CC4FC4C" w14:textId="74A06A0A" w:rsidR="00A7114C"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Ved betaling av arbeidsgiveravgift med bankgiro skal egen betalingsgiro (Betalingskor</w:t>
      </w:r>
      <w:r w:rsidR="008C13CB" w:rsidRPr="00212323">
        <w:rPr>
          <w:rFonts w:ascii="Times New Roman" w:eastAsia="Times New Roman" w:hAnsi="Times New Roman" w:cs="Times New Roman"/>
          <w:color w:val="000000" w:themeColor="text1"/>
          <w:sz w:val="24"/>
          <w:szCs w:val="24"/>
          <w:lang w:val="nb-NO" w:eastAsia="nb-NO"/>
        </w:rPr>
        <w:t>t for skatt) benyttes.</w:t>
      </w:r>
      <w:r w:rsidRPr="00212323">
        <w:rPr>
          <w:rFonts w:ascii="Times New Roman" w:eastAsia="Times New Roman" w:hAnsi="Times New Roman" w:cs="Times New Roman"/>
          <w:color w:val="000000" w:themeColor="text1"/>
          <w:sz w:val="24"/>
          <w:szCs w:val="24"/>
          <w:lang w:val="nb-NO" w:eastAsia="nb-NO"/>
        </w:rPr>
        <w:t xml:space="preserve"> Betalingsgiro fås på skatteoppkreverkontoret. Avgiften kan også betales elektronisk (nettbank). Ved betaling via nettbank</w:t>
      </w:r>
      <w:r w:rsidR="001F6211">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må KID (kund</w:t>
      </w:r>
      <w:r w:rsidR="008C13CB" w:rsidRPr="00212323">
        <w:rPr>
          <w:rFonts w:ascii="Times New Roman" w:eastAsia="Times New Roman" w:hAnsi="Times New Roman" w:cs="Times New Roman"/>
          <w:color w:val="000000" w:themeColor="text1"/>
          <w:sz w:val="24"/>
          <w:szCs w:val="24"/>
          <w:lang w:val="nb-NO" w:eastAsia="nb-NO"/>
        </w:rPr>
        <w:t>eidentifikasjon) oppgis. KID få</w:t>
      </w:r>
      <w:r w:rsidRPr="00212323">
        <w:rPr>
          <w:rFonts w:ascii="Times New Roman" w:eastAsia="Times New Roman" w:hAnsi="Times New Roman" w:cs="Times New Roman"/>
          <w:color w:val="000000" w:themeColor="text1"/>
          <w:sz w:val="24"/>
          <w:szCs w:val="24"/>
          <w:lang w:val="nb-NO" w:eastAsia="nb-NO"/>
        </w:rPr>
        <w:t>s ved henvendelse til skatteo</w:t>
      </w:r>
      <w:r w:rsidR="008C13CB" w:rsidRPr="00212323">
        <w:rPr>
          <w:rFonts w:ascii="Times New Roman" w:eastAsia="Times New Roman" w:hAnsi="Times New Roman" w:cs="Times New Roman"/>
          <w:color w:val="000000" w:themeColor="text1"/>
          <w:sz w:val="24"/>
          <w:szCs w:val="24"/>
          <w:lang w:val="nb-NO" w:eastAsia="nb-NO"/>
        </w:rPr>
        <w:t xml:space="preserve">ppkreverkontoret, eller det </w:t>
      </w:r>
      <w:proofErr w:type="gramStart"/>
      <w:r w:rsidR="008C13CB" w:rsidRPr="00212323">
        <w:rPr>
          <w:rFonts w:ascii="Times New Roman" w:eastAsia="Times New Roman" w:hAnsi="Times New Roman" w:cs="Times New Roman"/>
          <w:color w:val="000000" w:themeColor="text1"/>
          <w:sz w:val="24"/>
          <w:szCs w:val="24"/>
          <w:lang w:val="nb-NO" w:eastAsia="nb-NO"/>
        </w:rPr>
        <w:t xml:space="preserve">kan </w:t>
      </w:r>
      <w:r w:rsidRPr="00212323">
        <w:rPr>
          <w:rFonts w:ascii="Times New Roman" w:eastAsia="Times New Roman" w:hAnsi="Times New Roman" w:cs="Times New Roman"/>
          <w:color w:val="000000" w:themeColor="text1"/>
          <w:sz w:val="24"/>
          <w:szCs w:val="24"/>
          <w:lang w:val="nb-NO" w:eastAsia="nb-NO"/>
        </w:rPr>
        <w:t>”lages</w:t>
      </w:r>
      <w:proofErr w:type="gramEnd"/>
      <w:r w:rsidRPr="00212323">
        <w:rPr>
          <w:rFonts w:ascii="Times New Roman" w:eastAsia="Times New Roman" w:hAnsi="Times New Roman" w:cs="Times New Roman"/>
          <w:color w:val="000000" w:themeColor="text1"/>
          <w:sz w:val="24"/>
          <w:szCs w:val="24"/>
          <w:lang w:val="nb-NO" w:eastAsia="nb-NO"/>
        </w:rPr>
        <w:t>”</w:t>
      </w:r>
      <w:r w:rsidR="008C13CB" w:rsidRPr="00212323">
        <w:rPr>
          <w:rFonts w:ascii="Times New Roman" w:eastAsia="Times New Roman" w:hAnsi="Times New Roman" w:cs="Times New Roman"/>
          <w:color w:val="000000" w:themeColor="text1"/>
          <w:sz w:val="24"/>
          <w:szCs w:val="24"/>
          <w:lang w:val="nb-NO" w:eastAsia="nb-NO"/>
        </w:rPr>
        <w:t xml:space="preserve"> </w:t>
      </w:r>
      <w:r w:rsidRPr="00212323">
        <w:rPr>
          <w:rFonts w:ascii="Times New Roman" w:eastAsia="Times New Roman" w:hAnsi="Times New Roman" w:cs="Times New Roman"/>
          <w:color w:val="000000" w:themeColor="text1"/>
          <w:sz w:val="24"/>
          <w:szCs w:val="24"/>
          <w:lang w:val="nb-NO" w:eastAsia="nb-NO"/>
        </w:rPr>
        <w:t xml:space="preserve">på skatteetaten.no. </w:t>
      </w:r>
    </w:p>
    <w:p w14:paraId="0CC4FC4D"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På skatteetaten.no finnes</w:t>
      </w:r>
      <w:r w:rsidR="008C13CB" w:rsidRPr="00212323">
        <w:rPr>
          <w:rFonts w:ascii="Times New Roman" w:eastAsia="Times New Roman" w:hAnsi="Times New Roman" w:cs="Times New Roman"/>
          <w:color w:val="000000" w:themeColor="text1"/>
          <w:sz w:val="24"/>
          <w:szCs w:val="24"/>
          <w:lang w:val="nb-NO" w:eastAsia="nb-NO"/>
        </w:rPr>
        <w:t xml:space="preserve"> også oversikt over kontonummer</w:t>
      </w:r>
      <w:r w:rsidRPr="00212323">
        <w:rPr>
          <w:rFonts w:ascii="Times New Roman" w:eastAsia="Times New Roman" w:hAnsi="Times New Roman" w:cs="Times New Roman"/>
          <w:color w:val="000000" w:themeColor="text1"/>
          <w:sz w:val="24"/>
          <w:szCs w:val="24"/>
          <w:lang w:val="nb-NO" w:eastAsia="nb-NO"/>
        </w:rPr>
        <w:t xml:space="preserve"> til skatteoppkreverne. Ved innsending </w:t>
      </w:r>
      <w:r w:rsidR="008C13CB" w:rsidRPr="00212323">
        <w:rPr>
          <w:rFonts w:ascii="Times New Roman" w:eastAsia="Times New Roman" w:hAnsi="Times New Roman" w:cs="Times New Roman"/>
          <w:color w:val="000000" w:themeColor="text1"/>
          <w:sz w:val="24"/>
          <w:szCs w:val="24"/>
          <w:lang w:val="nb-NO" w:eastAsia="nb-NO"/>
        </w:rPr>
        <w:t xml:space="preserve">av terminoppgaven via </w:t>
      </w:r>
      <w:proofErr w:type="spellStart"/>
      <w:r w:rsidR="008C13CB" w:rsidRPr="00212323">
        <w:rPr>
          <w:rFonts w:ascii="Times New Roman" w:eastAsia="Times New Roman" w:hAnsi="Times New Roman" w:cs="Times New Roman"/>
          <w:color w:val="000000" w:themeColor="text1"/>
          <w:sz w:val="24"/>
          <w:szCs w:val="24"/>
          <w:lang w:val="nb-NO" w:eastAsia="nb-NO"/>
        </w:rPr>
        <w:t>Altinn</w:t>
      </w:r>
      <w:proofErr w:type="spellEnd"/>
      <w:r w:rsidR="008C13CB" w:rsidRPr="00212323">
        <w:rPr>
          <w:rFonts w:ascii="Times New Roman" w:eastAsia="Times New Roman" w:hAnsi="Times New Roman" w:cs="Times New Roman"/>
          <w:color w:val="000000" w:themeColor="text1"/>
          <w:sz w:val="24"/>
          <w:szCs w:val="24"/>
          <w:lang w:val="nb-NO" w:eastAsia="nb-NO"/>
        </w:rPr>
        <w:t xml:space="preserve"> få</w:t>
      </w:r>
      <w:r w:rsidRPr="00212323">
        <w:rPr>
          <w:rFonts w:ascii="Times New Roman" w:eastAsia="Times New Roman" w:hAnsi="Times New Roman" w:cs="Times New Roman"/>
          <w:color w:val="000000" w:themeColor="text1"/>
          <w:sz w:val="24"/>
          <w:szCs w:val="24"/>
          <w:lang w:val="nb-NO" w:eastAsia="nb-NO"/>
        </w:rPr>
        <w:t>s en kvittering som bl.a. inneholder kontonummer og KID som skal brukes ved betaling.</w:t>
      </w:r>
    </w:p>
    <w:p w14:paraId="0CC4FC4F" w14:textId="7B87FA82" w:rsidR="00A7114C"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Arbeidsgiveren skal etter utgangen av kalenderåret gi oppgave (</w:t>
      </w:r>
      <w:proofErr w:type="spellStart"/>
      <w:r w:rsidRPr="00212323">
        <w:rPr>
          <w:rFonts w:ascii="Times New Roman" w:eastAsia="Times New Roman" w:hAnsi="Times New Roman" w:cs="Times New Roman"/>
          <w:color w:val="000000" w:themeColor="text1"/>
          <w:sz w:val="24"/>
          <w:szCs w:val="24"/>
          <w:lang w:val="nb-NO" w:eastAsia="nb-NO"/>
        </w:rPr>
        <w:t>årsoppgave</w:t>
      </w:r>
      <w:proofErr w:type="spellEnd"/>
      <w:r w:rsidRPr="00212323">
        <w:rPr>
          <w:rFonts w:ascii="Times New Roman" w:eastAsia="Times New Roman" w:hAnsi="Times New Roman" w:cs="Times New Roman"/>
          <w:color w:val="000000" w:themeColor="text1"/>
          <w:sz w:val="24"/>
          <w:szCs w:val="24"/>
          <w:lang w:val="nb-NO" w:eastAsia="nb-NO"/>
        </w:rPr>
        <w:t xml:space="preserve">) over grunnlaget for beregningen av arbeidsgiveravgift. Når arbeidsgiveren leverer lønns- og trekkoppgavene, skal det i tillegg leveres følgeskriv. </w:t>
      </w:r>
    </w:p>
    <w:p w14:paraId="0CC4FC50"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proofErr w:type="spellStart"/>
      <w:r w:rsidRPr="00212323">
        <w:rPr>
          <w:rFonts w:ascii="Times New Roman" w:eastAsia="Times New Roman" w:hAnsi="Times New Roman" w:cs="Times New Roman"/>
          <w:color w:val="000000" w:themeColor="text1"/>
          <w:sz w:val="24"/>
          <w:szCs w:val="24"/>
          <w:lang w:val="nb-NO" w:eastAsia="nb-NO"/>
        </w:rPr>
        <w:t>Årsoppgave</w:t>
      </w:r>
      <w:proofErr w:type="spellEnd"/>
      <w:r w:rsidRPr="00212323">
        <w:rPr>
          <w:rFonts w:ascii="Times New Roman" w:eastAsia="Times New Roman" w:hAnsi="Times New Roman" w:cs="Times New Roman"/>
          <w:color w:val="000000" w:themeColor="text1"/>
          <w:sz w:val="24"/>
          <w:szCs w:val="24"/>
          <w:lang w:val="nb-NO" w:eastAsia="nb-NO"/>
        </w:rPr>
        <w:t xml:space="preserve"> for arbeidsgiveravgift - Følgeskriv til lønns- og trekkoppgaver (RF-1025) er et fellesskjema for ovennevnte og </w:t>
      </w:r>
      <w:r w:rsidRPr="00212323">
        <w:rPr>
          <w:rFonts w:ascii="Times New Roman" w:eastAsia="Times New Roman" w:hAnsi="Times New Roman" w:cs="Times New Roman"/>
          <w:color w:val="000000" w:themeColor="text1"/>
          <w:sz w:val="24"/>
          <w:szCs w:val="24"/>
          <w:lang w:val="nb-NO" w:eastAsia="nb-NO"/>
        </w:rPr>
        <w:lastRenderedPageBreak/>
        <w:t>kan lastes ned fra skatteetaten.no. Skjemaet skal leveres til skatteoppkreveren for den kommunen hvor lønnsoppgavene skal leveres.</w:t>
      </w:r>
    </w:p>
    <w:p w14:paraId="0CC4FC51"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 xml:space="preserve">For arbeidsgivere som leverer lønns- og trekkoppgavene via </w:t>
      </w:r>
      <w:proofErr w:type="spellStart"/>
      <w:r w:rsidRPr="00212323">
        <w:rPr>
          <w:rFonts w:ascii="Times New Roman" w:eastAsia="Times New Roman" w:hAnsi="Times New Roman" w:cs="Times New Roman"/>
          <w:color w:val="000000" w:themeColor="text1"/>
          <w:sz w:val="24"/>
          <w:szCs w:val="24"/>
          <w:lang w:val="nb-NO" w:eastAsia="nb-NO"/>
        </w:rPr>
        <w:t>Altinn</w:t>
      </w:r>
      <w:proofErr w:type="spellEnd"/>
      <w:r w:rsidR="008C13CB" w:rsidRPr="00212323">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vil Skatteetaten generere en elektronisk </w:t>
      </w:r>
      <w:proofErr w:type="spellStart"/>
      <w:r w:rsidRPr="00212323">
        <w:rPr>
          <w:rFonts w:ascii="Times New Roman" w:eastAsia="Times New Roman" w:hAnsi="Times New Roman" w:cs="Times New Roman"/>
          <w:color w:val="000000" w:themeColor="text1"/>
          <w:sz w:val="24"/>
          <w:szCs w:val="24"/>
          <w:lang w:val="nb-NO" w:eastAsia="nb-NO"/>
        </w:rPr>
        <w:t>årsoppgave</w:t>
      </w:r>
      <w:proofErr w:type="spellEnd"/>
      <w:r w:rsidRPr="00212323">
        <w:rPr>
          <w:rFonts w:ascii="Times New Roman" w:eastAsia="Times New Roman" w:hAnsi="Times New Roman" w:cs="Times New Roman"/>
          <w:color w:val="000000" w:themeColor="text1"/>
          <w:sz w:val="24"/>
          <w:szCs w:val="24"/>
          <w:lang w:val="nb-NO" w:eastAsia="nb-NO"/>
        </w:rPr>
        <w:t xml:space="preserve"> (RF-1025e) som oversendes skatteoppkreveren automatisk. Skjemaet skal da ikke leveres på papir.</w:t>
      </w:r>
    </w:p>
    <w:p w14:paraId="0CC4FC52"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Arbeidsgivere som leverer maskinelle lønns- og trekkoppgaver</w:t>
      </w:r>
      <w:r w:rsidR="00C031CD" w:rsidRPr="00212323">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skal levere skjemaet innen 31. januar. Arbeidsgivere som leverer lønns- og trekkoppgaver på papir</w:t>
      </w:r>
      <w:r w:rsidR="00C031CD" w:rsidRPr="00212323">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skal levere skjemaet sammen med lønnsoppgavene innen 20. januar.</w:t>
      </w:r>
    </w:p>
    <w:p w14:paraId="0CC4FC53" w14:textId="77777777" w:rsidR="000943FE"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Arbeidsgivere som benytter forenklet oppgjørsordning</w:t>
      </w:r>
      <w:r w:rsidR="00C031CD" w:rsidRPr="00212323">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 skal ikke levere skjemaet, med mindre de er avgiftspliktige for deler av året, jf. nedenfor.</w:t>
      </w:r>
    </w:p>
    <w:p w14:paraId="2AA25812" w14:textId="665BA24D" w:rsidR="00212323" w:rsidRPr="00212323" w:rsidRDefault="00212323"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Pr>
          <w:rFonts w:ascii="Times New Roman" w:eastAsia="Times New Roman" w:hAnsi="Times New Roman" w:cs="Times New Roman"/>
          <w:color w:val="000000" w:themeColor="text1"/>
          <w:sz w:val="24"/>
          <w:szCs w:val="24"/>
          <w:lang w:val="nb-NO" w:eastAsia="nb-NO"/>
        </w:rPr>
        <w:t xml:space="preserve">Fra og med 2015 forventes det store omlegginger med hensyn til utarbeidelse av lønns- og trekkoppgaver samt </w:t>
      </w:r>
      <w:proofErr w:type="spellStart"/>
      <w:r>
        <w:rPr>
          <w:rFonts w:ascii="Times New Roman" w:eastAsia="Times New Roman" w:hAnsi="Times New Roman" w:cs="Times New Roman"/>
          <w:color w:val="000000" w:themeColor="text1"/>
          <w:sz w:val="24"/>
          <w:szCs w:val="24"/>
          <w:lang w:val="nb-NO" w:eastAsia="nb-NO"/>
        </w:rPr>
        <w:t>årsoppgave</w:t>
      </w:r>
      <w:proofErr w:type="spellEnd"/>
      <w:r>
        <w:rPr>
          <w:rFonts w:ascii="Times New Roman" w:eastAsia="Times New Roman" w:hAnsi="Times New Roman" w:cs="Times New Roman"/>
          <w:color w:val="000000" w:themeColor="text1"/>
          <w:sz w:val="24"/>
          <w:szCs w:val="24"/>
          <w:lang w:val="nb-NO" w:eastAsia="nb-NO"/>
        </w:rPr>
        <w:t xml:space="preserve"> for arbeidsgiveravgift. Det forventes at disse </w:t>
      </w:r>
      <w:r w:rsidR="001B2140">
        <w:rPr>
          <w:rFonts w:ascii="Times New Roman" w:eastAsia="Times New Roman" w:hAnsi="Times New Roman" w:cs="Times New Roman"/>
          <w:color w:val="000000" w:themeColor="text1"/>
          <w:sz w:val="24"/>
          <w:szCs w:val="24"/>
          <w:lang w:val="nb-NO" w:eastAsia="nb-NO"/>
        </w:rPr>
        <w:t xml:space="preserve">rapporteringsplikter </w:t>
      </w:r>
      <w:r>
        <w:rPr>
          <w:rFonts w:ascii="Times New Roman" w:eastAsia="Times New Roman" w:hAnsi="Times New Roman" w:cs="Times New Roman"/>
          <w:color w:val="000000" w:themeColor="text1"/>
          <w:sz w:val="24"/>
          <w:szCs w:val="24"/>
          <w:lang w:val="nb-NO" w:eastAsia="nb-NO"/>
        </w:rPr>
        <w:t xml:space="preserve">bortfaller idet </w:t>
      </w:r>
      <w:r w:rsidR="001B2140">
        <w:rPr>
          <w:rFonts w:ascii="Times New Roman" w:eastAsia="Times New Roman" w:hAnsi="Times New Roman" w:cs="Times New Roman"/>
          <w:color w:val="000000" w:themeColor="text1"/>
          <w:sz w:val="24"/>
          <w:szCs w:val="24"/>
          <w:lang w:val="nb-NO" w:eastAsia="nb-NO"/>
        </w:rPr>
        <w:t>arbeidsgiver vil ha en månedlig rapporteringsplikt</w:t>
      </w:r>
      <w:r>
        <w:rPr>
          <w:rFonts w:ascii="Times New Roman" w:eastAsia="Times New Roman" w:hAnsi="Times New Roman" w:cs="Times New Roman"/>
          <w:color w:val="000000" w:themeColor="text1"/>
          <w:sz w:val="24"/>
          <w:szCs w:val="24"/>
          <w:lang w:val="nb-NO" w:eastAsia="nb-NO"/>
        </w:rPr>
        <w:t>.</w:t>
      </w:r>
    </w:p>
    <w:p w14:paraId="0CC4FC54" w14:textId="77777777" w:rsidR="00A7114C" w:rsidRPr="00212323" w:rsidRDefault="00A7114C"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p>
    <w:p w14:paraId="0CC4FC55" w14:textId="77777777" w:rsidR="000943FE" w:rsidRPr="00212323" w:rsidRDefault="000943FE" w:rsidP="00A7114C">
      <w:pPr>
        <w:spacing w:after="100" w:line="240" w:lineRule="auto"/>
        <w:outlineLvl w:val="3"/>
        <w:rPr>
          <w:rFonts w:ascii="Arial" w:eastAsia="Times New Roman" w:hAnsi="Arial" w:cs="Arial"/>
          <w:b/>
          <w:bCs/>
          <w:color w:val="000000" w:themeColor="text1"/>
          <w:sz w:val="24"/>
          <w:szCs w:val="24"/>
          <w:lang w:val="nb-NO" w:eastAsia="nb-NO"/>
        </w:rPr>
      </w:pPr>
      <w:r w:rsidRPr="00212323">
        <w:rPr>
          <w:rFonts w:ascii="Arial" w:eastAsia="Times New Roman" w:hAnsi="Arial" w:cs="Arial"/>
          <w:b/>
          <w:bCs/>
          <w:color w:val="000000" w:themeColor="text1"/>
          <w:sz w:val="24"/>
          <w:szCs w:val="24"/>
          <w:lang w:val="nb-NO" w:eastAsia="nb-NO"/>
        </w:rPr>
        <w:t xml:space="preserve">Unntak fra plikten til å betale arbeidsgiveravgift </w:t>
      </w:r>
    </w:p>
    <w:p w14:paraId="0CC4FC56" w14:textId="77777777" w:rsidR="00A7114C" w:rsidRPr="00212323" w:rsidRDefault="000943FE" w:rsidP="00A7114C">
      <w:pPr>
        <w:shd w:val="clear" w:color="auto" w:fill="FFFFFF"/>
        <w:spacing w:after="100" w:line="240" w:lineRule="auto"/>
        <w:rPr>
          <w:rFonts w:ascii="Times New Roman" w:eastAsia="Times New Roman" w:hAnsi="Times New Roman" w:cs="Times New Roman"/>
          <w:b/>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lastRenderedPageBreak/>
        <w:t xml:space="preserve">Veldedig eller allmennyttig institusjon eller organisasjon skal ikke betale arbeidsgiveravgift for lønnet arbeid som </w:t>
      </w:r>
      <w:r w:rsidRPr="00212323">
        <w:rPr>
          <w:rFonts w:ascii="Times New Roman" w:eastAsia="Times New Roman" w:hAnsi="Times New Roman" w:cs="Times New Roman"/>
          <w:b/>
          <w:color w:val="000000" w:themeColor="text1"/>
          <w:sz w:val="24"/>
          <w:szCs w:val="24"/>
          <w:lang w:val="nb-NO" w:eastAsia="nb-NO"/>
        </w:rPr>
        <w:t xml:space="preserve">ikke er knyttet til institusjonens eller organisasjonens skattepliktige næringsvirksomhet. </w:t>
      </w:r>
    </w:p>
    <w:p w14:paraId="0CC4FC57" w14:textId="38BCC5BF" w:rsidR="000943FE" w:rsidRPr="00212323" w:rsidRDefault="000943FE" w:rsidP="00A7114C">
      <w:pPr>
        <w:shd w:val="clear" w:color="auto" w:fill="FFFFFF"/>
        <w:spacing w:after="100" w:line="240" w:lineRule="auto"/>
        <w:rPr>
          <w:rFonts w:ascii="Times New Roman" w:eastAsia="Times New Roman" w:hAnsi="Times New Roman" w:cs="Times New Roman"/>
          <w:b/>
          <w:color w:val="000000" w:themeColor="text1"/>
          <w:sz w:val="24"/>
          <w:szCs w:val="24"/>
          <w:lang w:val="nb-NO" w:eastAsia="nb-NO"/>
        </w:rPr>
      </w:pPr>
      <w:r w:rsidRPr="00212323">
        <w:rPr>
          <w:rFonts w:ascii="Times New Roman" w:eastAsia="Times New Roman" w:hAnsi="Times New Roman" w:cs="Times New Roman"/>
          <w:b/>
          <w:color w:val="000000" w:themeColor="text1"/>
          <w:sz w:val="24"/>
          <w:szCs w:val="24"/>
          <w:lang w:val="nb-NO" w:eastAsia="nb-NO"/>
        </w:rPr>
        <w:t xml:space="preserve">Fritaket for arbeidsgiveravgift gjelder imidlertid bare når institusjonens eller organisasjonens totale lønnsutgifter i denne delen av virksomheten ikke overstiger </w:t>
      </w:r>
      <w:r w:rsidR="001F6211">
        <w:rPr>
          <w:rFonts w:ascii="Times New Roman" w:eastAsia="Times New Roman" w:hAnsi="Times New Roman" w:cs="Times New Roman"/>
          <w:b/>
          <w:color w:val="000000" w:themeColor="text1"/>
          <w:sz w:val="24"/>
          <w:szCs w:val="24"/>
          <w:lang w:val="nb-NO" w:eastAsia="nb-NO"/>
        </w:rPr>
        <w:t xml:space="preserve">     </w:t>
      </w:r>
      <w:r w:rsidRPr="00212323">
        <w:rPr>
          <w:rFonts w:ascii="Times New Roman" w:eastAsia="Times New Roman" w:hAnsi="Times New Roman" w:cs="Times New Roman"/>
          <w:b/>
          <w:color w:val="000000" w:themeColor="text1"/>
          <w:sz w:val="24"/>
          <w:szCs w:val="24"/>
          <w:lang w:val="nb-NO" w:eastAsia="nb-NO"/>
        </w:rPr>
        <w:t xml:space="preserve">450 000 kroner per år, og bare for lønnsutbetalinger som ikke overstiger 45 000 kroner per ansatt per år. Ved beregningen av grensebeløpet holdes lønnsutgifter i forbindelse med eventuell skattepliktig næringsvirksomhet utenfor. </w:t>
      </w:r>
    </w:p>
    <w:p w14:paraId="0CC4FC58" w14:textId="77777777" w:rsidR="000943FE" w:rsidRPr="00212323" w:rsidRDefault="000943FE" w:rsidP="00A7114C">
      <w:pPr>
        <w:shd w:val="clear" w:color="auto" w:fill="FFFFFF"/>
        <w:spacing w:after="100" w:line="240" w:lineRule="auto"/>
        <w:rPr>
          <w:rFonts w:ascii="Times New Roman" w:eastAsia="Times New Roman" w:hAnsi="Times New Roman" w:cs="Times New Roman"/>
          <w:b/>
          <w:color w:val="000000" w:themeColor="text1"/>
          <w:sz w:val="24"/>
          <w:szCs w:val="24"/>
          <w:lang w:val="nb-NO" w:eastAsia="nb-NO"/>
        </w:rPr>
      </w:pPr>
      <w:r w:rsidRPr="00212323">
        <w:rPr>
          <w:rFonts w:ascii="Times New Roman" w:eastAsia="Times New Roman" w:hAnsi="Times New Roman" w:cs="Times New Roman"/>
          <w:b/>
          <w:color w:val="000000" w:themeColor="text1"/>
          <w:sz w:val="24"/>
          <w:szCs w:val="24"/>
          <w:lang w:val="nb-NO" w:eastAsia="nb-NO"/>
        </w:rPr>
        <w:t xml:space="preserve">Hver ansatt skal vurderes for seg i forhold til grensen på 45 000 kroner per ansatt. Utbetalinger til ansatte på 45 000 kroner eller mindre er fritatt for arbeidsgiveravgift når de totale lønnsutbetalingene ikke overstiger 450 000 kroner. </w:t>
      </w:r>
    </w:p>
    <w:p w14:paraId="0CC4FC59"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 xml:space="preserve">Er utbetalingene høyere enn 450 000 kroner, er hele den samlede lønnsutbetalingen arbeidsgiveravgiftspliktig. Overstiger lønnsutbetalingen 45 000 kroner for en eller flere ansatte, eller lønnsutgiftene utenfor næringsvirksomhet er høyere enn 450 000 kroner for hele organisasjonen i løpet av året, må det straks </w:t>
      </w:r>
      <w:proofErr w:type="spellStart"/>
      <w:r w:rsidRPr="00212323">
        <w:rPr>
          <w:rFonts w:ascii="Times New Roman" w:eastAsia="Times New Roman" w:hAnsi="Times New Roman" w:cs="Times New Roman"/>
          <w:color w:val="000000" w:themeColor="text1"/>
          <w:sz w:val="24"/>
          <w:szCs w:val="24"/>
          <w:lang w:val="nb-NO" w:eastAsia="nb-NO"/>
        </w:rPr>
        <w:lastRenderedPageBreak/>
        <w:t>etterberegnes</w:t>
      </w:r>
      <w:proofErr w:type="spellEnd"/>
      <w:r w:rsidRPr="00212323">
        <w:rPr>
          <w:rFonts w:ascii="Times New Roman" w:eastAsia="Times New Roman" w:hAnsi="Times New Roman" w:cs="Times New Roman"/>
          <w:color w:val="000000" w:themeColor="text1"/>
          <w:sz w:val="24"/>
          <w:szCs w:val="24"/>
          <w:lang w:val="nb-NO" w:eastAsia="nb-NO"/>
        </w:rPr>
        <w:t xml:space="preserve"> arbeidsgiveravgift av de tidligere utbetalte beløpene. Ved senere utbetalinger skal det beregnes avgift på vanlig måte i henhold til ordinære frister.</w:t>
      </w:r>
    </w:p>
    <w:p w14:paraId="0CC4FC5A" w14:textId="77777777" w:rsidR="00A7114C"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Grensebeløpene for fritak for arbeidsgiveravgift vil kunne gjelde for hver underenhet/</w:t>
      </w:r>
      <w:r w:rsidR="008C13CB" w:rsidRPr="00212323">
        <w:rPr>
          <w:rFonts w:ascii="Times New Roman" w:eastAsia="Times New Roman" w:hAnsi="Times New Roman" w:cs="Times New Roman"/>
          <w:color w:val="000000" w:themeColor="text1"/>
          <w:sz w:val="24"/>
          <w:szCs w:val="24"/>
          <w:lang w:val="nb-NO" w:eastAsia="nb-NO"/>
        </w:rPr>
        <w:t>-</w:t>
      </w:r>
      <w:r w:rsidRPr="00212323">
        <w:rPr>
          <w:rFonts w:ascii="Times New Roman" w:eastAsia="Times New Roman" w:hAnsi="Times New Roman" w:cs="Times New Roman"/>
          <w:color w:val="000000" w:themeColor="text1"/>
          <w:sz w:val="24"/>
          <w:szCs w:val="24"/>
          <w:lang w:val="nb-NO" w:eastAsia="nb-NO"/>
        </w:rPr>
        <w:t xml:space="preserve">avdeling som kan betegnes som en selvstendig skattemessig enhet av organisasjonen. En enhet er selvstendig når den tilfredsstiller kravene til å være et eget skattesubjekt, jf. skatteloven § 2-2 første ledd, bokstav h. Den enkelte underenhet/-avdeling må bl.a. være organisert med eget styre og føre eget regnskap. </w:t>
      </w:r>
    </w:p>
    <w:p w14:paraId="0CC4FC5B"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Som arbeidsgiver/oppdragsgiver er organisasjonen/underenhe</w:t>
      </w:r>
      <w:r w:rsidR="008C13CB" w:rsidRPr="00212323">
        <w:rPr>
          <w:rFonts w:ascii="Times New Roman" w:eastAsia="Times New Roman" w:hAnsi="Times New Roman" w:cs="Times New Roman"/>
          <w:color w:val="000000" w:themeColor="text1"/>
          <w:sz w:val="24"/>
          <w:szCs w:val="24"/>
          <w:lang w:val="nb-NO" w:eastAsia="nb-NO"/>
        </w:rPr>
        <w:t>ten i tillegg alltid pliktig</w:t>
      </w:r>
      <w:r w:rsidRPr="00212323">
        <w:rPr>
          <w:rFonts w:ascii="Times New Roman" w:eastAsia="Times New Roman" w:hAnsi="Times New Roman" w:cs="Times New Roman"/>
          <w:color w:val="000000" w:themeColor="text1"/>
          <w:sz w:val="24"/>
          <w:szCs w:val="24"/>
          <w:lang w:val="nb-NO" w:eastAsia="nb-NO"/>
        </w:rPr>
        <w:t xml:space="preserve"> å registrere seg i enhetsregisteret. Organisasjonsnummeret som tildeles må benyttes som arbeidsgivernummer, jf. folketrygdloven § 25 og lov om Enhetsregisteret av 3. juni 1994 nr. 15 med tilhørende forskrift av 9. februar 1995 nr. 114. Det er skattekontoret som avgjør om institusjonen eller organisasjonen kommer inn under unntaket fra plikten til å svare arbeidsgiveravgift.</w:t>
      </w:r>
    </w:p>
    <w:p w14:paraId="0CC4FC5C"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Ved utbetaling av lønn som er fritatt for arbeidsgiveravgift, skal beløpet ikke tas med i kolonnen for avgiftsgrunnlag på termin</w:t>
      </w:r>
      <w:r w:rsidRPr="00212323">
        <w:rPr>
          <w:rFonts w:ascii="Times New Roman" w:eastAsia="Times New Roman" w:hAnsi="Times New Roman" w:cs="Times New Roman"/>
          <w:color w:val="000000" w:themeColor="text1"/>
          <w:sz w:val="24"/>
          <w:szCs w:val="24"/>
          <w:lang w:val="nb-NO" w:eastAsia="nb-NO"/>
        </w:rPr>
        <w:lastRenderedPageBreak/>
        <w:t>oppgaven for arbeidsgiveravgift og forskudd</w:t>
      </w:r>
      <w:r w:rsidR="00C031CD" w:rsidRPr="00212323">
        <w:rPr>
          <w:rFonts w:ascii="Times New Roman" w:eastAsia="Times New Roman" w:hAnsi="Times New Roman" w:cs="Times New Roman"/>
          <w:color w:val="000000" w:themeColor="text1"/>
          <w:sz w:val="24"/>
          <w:szCs w:val="24"/>
          <w:lang w:val="nb-NO" w:eastAsia="nb-NO"/>
        </w:rPr>
        <w:t>s</w:t>
      </w:r>
      <w:r w:rsidRPr="00212323">
        <w:rPr>
          <w:rFonts w:ascii="Times New Roman" w:eastAsia="Times New Roman" w:hAnsi="Times New Roman" w:cs="Times New Roman"/>
          <w:color w:val="000000" w:themeColor="text1"/>
          <w:sz w:val="24"/>
          <w:szCs w:val="24"/>
          <w:lang w:val="nb-NO" w:eastAsia="nb-NO"/>
        </w:rPr>
        <w:t>trekk. Har institusjonen eller organisasjonen en eller flere utbetalinger det skal svares arbeidsgiveravgift av (dvs. utbetalinger til en person på mer enn 45 000 kroner i året) og en eller flere utbetalinger det ikke skal svares avgift av, er det bare de utbetalingene det skal svares avgift av som skal tas med på oppgaven.</w:t>
      </w:r>
    </w:p>
    <w:p w14:paraId="0CC4FC5D" w14:textId="77777777" w:rsidR="000943FE" w:rsidRPr="00212323" w:rsidRDefault="000943FE" w:rsidP="00A7114C">
      <w:pPr>
        <w:shd w:val="clear" w:color="auto" w:fill="FFFFFF"/>
        <w:spacing w:after="100" w:line="240" w:lineRule="auto"/>
        <w:rPr>
          <w:rFonts w:ascii="Times New Roman" w:eastAsia="Times New Roman" w:hAnsi="Times New Roman" w:cs="Times New Roman"/>
          <w:color w:val="000000" w:themeColor="text1"/>
          <w:sz w:val="24"/>
          <w:szCs w:val="24"/>
          <w:lang w:val="nb-NO" w:eastAsia="nb-NO"/>
        </w:rPr>
      </w:pPr>
      <w:r w:rsidRPr="00212323">
        <w:rPr>
          <w:rFonts w:ascii="Times New Roman" w:eastAsia="Times New Roman" w:hAnsi="Times New Roman" w:cs="Times New Roman"/>
          <w:color w:val="000000" w:themeColor="text1"/>
          <w:sz w:val="24"/>
          <w:szCs w:val="24"/>
          <w:lang w:val="nb-NO" w:eastAsia="nb-NO"/>
        </w:rPr>
        <w:t>Veldedige eller allmennyttige institusjoner eller organisasjoner som ikke oppfyller vilkårene for fritak for arbeidsgiveravgift, skal svare arbeidsgiveravgift etter de alminnelige reglene og vil ikke kunne benytte forenklet oppgjørsblankett ved lønnsutbetalinger.</w:t>
      </w:r>
    </w:p>
    <w:sectPr w:rsidR="000943FE" w:rsidRPr="00212323" w:rsidSect="00A7114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FC60" w14:textId="77777777" w:rsidR="00212323" w:rsidRDefault="00212323" w:rsidP="00B76AED">
      <w:pPr>
        <w:spacing w:after="0" w:line="240" w:lineRule="auto"/>
      </w:pPr>
      <w:r>
        <w:separator/>
      </w:r>
    </w:p>
  </w:endnote>
  <w:endnote w:type="continuationSeparator" w:id="0">
    <w:p w14:paraId="0CC4FC61" w14:textId="77777777" w:rsidR="00212323" w:rsidRDefault="00212323" w:rsidP="00B7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FC5E" w14:textId="77777777" w:rsidR="00212323" w:rsidRDefault="00212323" w:rsidP="00B76AED">
      <w:pPr>
        <w:spacing w:after="0" w:line="240" w:lineRule="auto"/>
      </w:pPr>
      <w:r>
        <w:separator/>
      </w:r>
    </w:p>
  </w:footnote>
  <w:footnote w:type="continuationSeparator" w:id="0">
    <w:p w14:paraId="0CC4FC5F" w14:textId="77777777" w:rsidR="00212323" w:rsidRDefault="00212323" w:rsidP="00B7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FC63" w14:textId="62D7C4D6" w:rsidR="00212323" w:rsidRPr="00B76AED" w:rsidRDefault="00212323" w:rsidP="00B76AED">
    <w:pPr>
      <w:pStyle w:val="Topptekst"/>
      <w:jc w:val="right"/>
      <w:rPr>
        <w:rFonts w:ascii="Bodoni MT" w:hAnsi="Bodoni MT"/>
        <w:sz w:val="20"/>
      </w:rPr>
    </w:pPr>
    <w:r w:rsidRPr="00267B0C">
      <w:rPr>
        <w:rFonts w:ascii="Bodoni MT" w:hAnsi="Bodoni MT"/>
        <w:sz w:val="20"/>
      </w:rPr>
      <w:ptab w:relativeTo="margin" w:alignment="center" w:leader="none"/>
    </w:r>
    <w:r w:rsidRPr="00267B0C">
      <w:rPr>
        <w:rFonts w:ascii="Bodoni MT" w:hAnsi="Bodoni MT"/>
        <w:sz w:val="20"/>
      </w:rPr>
      <w:ptab w:relativeTo="margin" w:alignment="right" w:leader="none"/>
    </w:r>
    <w:r w:rsidR="00C90254">
      <w:rPr>
        <w:rFonts w:ascii="Bodoni MT" w:hAnsi="Bodoni MT"/>
        <w:sz w:val="20"/>
      </w:rPr>
      <w:t>PH14 03j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FE"/>
    <w:rsid w:val="00051EBB"/>
    <w:rsid w:val="000943FE"/>
    <w:rsid w:val="000F7C63"/>
    <w:rsid w:val="001B2140"/>
    <w:rsid w:val="001F6211"/>
    <w:rsid w:val="00212323"/>
    <w:rsid w:val="00255D38"/>
    <w:rsid w:val="00267B0C"/>
    <w:rsid w:val="00346F70"/>
    <w:rsid w:val="00530AEB"/>
    <w:rsid w:val="0059626F"/>
    <w:rsid w:val="005A1FD7"/>
    <w:rsid w:val="005B3850"/>
    <w:rsid w:val="00632870"/>
    <w:rsid w:val="0069782D"/>
    <w:rsid w:val="006E0529"/>
    <w:rsid w:val="00870A49"/>
    <w:rsid w:val="008C13CB"/>
    <w:rsid w:val="00A7114C"/>
    <w:rsid w:val="00A73BE0"/>
    <w:rsid w:val="00B664F0"/>
    <w:rsid w:val="00B76AED"/>
    <w:rsid w:val="00C031CD"/>
    <w:rsid w:val="00C22DA5"/>
    <w:rsid w:val="00C90254"/>
    <w:rsid w:val="00C91BC6"/>
    <w:rsid w:val="00D4556E"/>
    <w:rsid w:val="00E279A8"/>
    <w:rsid w:val="00F7192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FC43"/>
  <w15:docId w15:val="{98F15D78-6D0D-4E4E-A373-BED5436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0943FE"/>
    <w:rPr>
      <w:b/>
      <w:bCs/>
    </w:rPr>
  </w:style>
  <w:style w:type="paragraph" w:styleId="Topptekst">
    <w:name w:val="header"/>
    <w:basedOn w:val="Normal"/>
    <w:link w:val="TopptekstTegn"/>
    <w:uiPriority w:val="99"/>
    <w:unhideWhenUsed/>
    <w:rsid w:val="00B76A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6AED"/>
  </w:style>
  <w:style w:type="paragraph" w:styleId="Bunntekst">
    <w:name w:val="footer"/>
    <w:basedOn w:val="Normal"/>
    <w:link w:val="BunntekstTegn"/>
    <w:uiPriority w:val="99"/>
    <w:unhideWhenUsed/>
    <w:rsid w:val="00B76A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6AED"/>
  </w:style>
  <w:style w:type="paragraph" w:styleId="Bobletekst">
    <w:name w:val="Balloon Text"/>
    <w:basedOn w:val="Normal"/>
    <w:link w:val="BobletekstTegn"/>
    <w:uiPriority w:val="99"/>
    <w:semiHidden/>
    <w:unhideWhenUsed/>
    <w:rsid w:val="00B76A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8650">
      <w:bodyDiv w:val="1"/>
      <w:marLeft w:val="0"/>
      <w:marRight w:val="0"/>
      <w:marTop w:val="0"/>
      <w:marBottom w:val="0"/>
      <w:divBdr>
        <w:top w:val="none" w:sz="0" w:space="0" w:color="auto"/>
        <w:left w:val="none" w:sz="0" w:space="0" w:color="auto"/>
        <w:bottom w:val="none" w:sz="0" w:space="0" w:color="auto"/>
        <w:right w:val="none" w:sz="0" w:space="0" w:color="auto"/>
      </w:divBdr>
    </w:div>
    <w:div w:id="1652904549">
      <w:bodyDiv w:val="1"/>
      <w:marLeft w:val="240"/>
      <w:marRight w:val="0"/>
      <w:marTop w:val="0"/>
      <w:marBottom w:val="0"/>
      <w:divBdr>
        <w:top w:val="none" w:sz="0" w:space="0" w:color="auto"/>
        <w:left w:val="none" w:sz="0" w:space="0" w:color="auto"/>
        <w:bottom w:val="none" w:sz="0" w:space="0" w:color="auto"/>
        <w:right w:val="none" w:sz="0" w:space="0" w:color="auto"/>
      </w:divBdr>
      <w:divsChild>
        <w:div w:id="80029421">
          <w:marLeft w:val="0"/>
          <w:marRight w:val="0"/>
          <w:marTop w:val="0"/>
          <w:marBottom w:val="0"/>
          <w:divBdr>
            <w:top w:val="none" w:sz="0" w:space="0" w:color="auto"/>
            <w:left w:val="none" w:sz="0" w:space="0" w:color="auto"/>
            <w:bottom w:val="none" w:sz="0" w:space="0" w:color="auto"/>
            <w:right w:val="none" w:sz="0" w:space="0" w:color="auto"/>
          </w:divBdr>
          <w:divsChild>
            <w:div w:id="2044288574">
              <w:marLeft w:val="504"/>
              <w:marRight w:val="0"/>
              <w:marTop w:val="0"/>
              <w:marBottom w:val="0"/>
              <w:divBdr>
                <w:top w:val="none" w:sz="0" w:space="0" w:color="auto"/>
                <w:left w:val="none" w:sz="0" w:space="0" w:color="auto"/>
                <w:bottom w:val="none" w:sz="0" w:space="0" w:color="auto"/>
                <w:right w:val="none" w:sz="0" w:space="0" w:color="auto"/>
              </w:divBdr>
              <w:divsChild>
                <w:div w:id="1392264540">
                  <w:marLeft w:val="0"/>
                  <w:marRight w:val="0"/>
                  <w:marTop w:val="0"/>
                  <w:marBottom w:val="0"/>
                  <w:divBdr>
                    <w:top w:val="none" w:sz="0" w:space="0" w:color="auto"/>
                    <w:left w:val="none" w:sz="0" w:space="0" w:color="auto"/>
                    <w:bottom w:val="none" w:sz="0" w:space="0" w:color="auto"/>
                    <w:right w:val="none" w:sz="0" w:space="0" w:color="auto"/>
                  </w:divBdr>
                  <w:divsChild>
                    <w:div w:id="616640577">
                      <w:marLeft w:val="0"/>
                      <w:marRight w:val="0"/>
                      <w:marTop w:val="0"/>
                      <w:marBottom w:val="0"/>
                      <w:divBdr>
                        <w:top w:val="none" w:sz="0" w:space="0" w:color="auto"/>
                        <w:left w:val="none" w:sz="0" w:space="0" w:color="auto"/>
                        <w:bottom w:val="none" w:sz="0" w:space="0" w:color="auto"/>
                        <w:right w:val="none" w:sz="0" w:space="0" w:color="auto"/>
                      </w:divBdr>
                      <w:divsChild>
                        <w:div w:id="520897902">
                          <w:marLeft w:val="0"/>
                          <w:marRight w:val="0"/>
                          <w:marTop w:val="0"/>
                          <w:marBottom w:val="0"/>
                          <w:divBdr>
                            <w:top w:val="none" w:sz="0" w:space="0" w:color="auto"/>
                            <w:left w:val="none" w:sz="0" w:space="0" w:color="auto"/>
                            <w:bottom w:val="none" w:sz="0" w:space="0" w:color="auto"/>
                            <w:right w:val="none" w:sz="0" w:space="0" w:color="auto"/>
                          </w:divBdr>
                          <w:divsChild>
                            <w:div w:id="89934994">
                              <w:marLeft w:val="0"/>
                              <w:marRight w:val="0"/>
                              <w:marTop w:val="0"/>
                              <w:marBottom w:val="240"/>
                              <w:divBdr>
                                <w:top w:val="none" w:sz="0" w:space="0" w:color="auto"/>
                                <w:left w:val="none" w:sz="0" w:space="0" w:color="auto"/>
                                <w:bottom w:val="none" w:sz="0" w:space="0" w:color="auto"/>
                                <w:right w:val="none" w:sz="0" w:space="0" w:color="auto"/>
                              </w:divBdr>
                              <w:divsChild>
                                <w:div w:id="937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85CEE5497B054D8648B0CE20436A84" ma:contentTypeVersion="5" ma:contentTypeDescription="Opprett et nytt dokument." ma:contentTypeScope="" ma:versionID="92f60a334b3b358ce16e6c0bf47620bd">
  <xsd:schema xmlns:xsd="http://www.w3.org/2001/XMLSchema" xmlns:xs="http://www.w3.org/2001/XMLSchema" xmlns:p="http://schemas.microsoft.com/office/2006/metadata/properties" xmlns:ns2="b1cc6220-2857-4846-8f2a-bc147c738b4a" xmlns:ns3="d73d96ef-e77c-4b00-9158-590e5d54598d" targetNamespace="http://schemas.microsoft.com/office/2006/metadata/properties" ma:root="true" ma:fieldsID="89f984ac30d62f22264ae445a5dff017" ns2:_="" ns3:_="">
    <xsd:import namespace="b1cc6220-2857-4846-8f2a-bc147c738b4a"/>
    <xsd:import namespace="d73d96ef-e77c-4b00-9158-590e5d54598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96ef-e77c-4b00-9158-590e5d5459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27D04E09-9016-4D90-8EC3-4D683C95FD9E}"/>
</file>

<file path=customXml/itemProps2.xml><?xml version="1.0" encoding="utf-8"?>
<ds:datastoreItem xmlns:ds="http://schemas.openxmlformats.org/officeDocument/2006/customXml" ds:itemID="{C4A99272-DC6F-46F0-AC50-5678DF1B4940}"/>
</file>

<file path=customXml/itemProps3.xml><?xml version="1.0" encoding="utf-8"?>
<ds:datastoreItem xmlns:ds="http://schemas.openxmlformats.org/officeDocument/2006/customXml" ds:itemID="{EA4631AD-7B85-4698-9DD3-E5A3DED57848}"/>
</file>

<file path=docProps/app.xml><?xml version="1.0" encoding="utf-8"?>
<Properties xmlns="http://schemas.openxmlformats.org/officeDocument/2006/extended-properties" xmlns:vt="http://schemas.openxmlformats.org/officeDocument/2006/docPropsVTypes">
  <Template>Normal</Template>
  <TotalTime>14</TotalTime>
  <Pages>2</Pages>
  <Words>1136</Words>
  <Characters>6025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ANESIN</dc:creator>
  <cp:lastModifiedBy>Marie Djupedal</cp:lastModifiedBy>
  <cp:revision>5</cp:revision>
  <dcterms:created xsi:type="dcterms:W3CDTF">2014-08-13T06:06:00Z</dcterms:created>
  <dcterms:modified xsi:type="dcterms:W3CDTF">2014-09-01T11:32:00Z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0x0101006785CEE5497B054D8648B0CE20436A84</vt:lpwstr>
  </property>
</Properties>
</file>